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CD5CA5" w14:paraId="56BECB2A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2B4A" w14:textId="77777777" w:rsidR="00CD5CA5" w:rsidRDefault="00CD5CA5" w:rsidP="001F5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5A5D4CF" w14:textId="23F51723" w:rsidR="00EB0A98" w:rsidRPr="00EB0A98" w:rsidRDefault="004513D1" w:rsidP="00EB0A9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UP </w:t>
            </w:r>
            <w:r w:rsidR="00CD5CA5" w:rsidRPr="00EB0A98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Los </w:t>
            </w:r>
            <w:proofErr w:type="spellStart"/>
            <w:r w:rsidR="00CD5CA5" w:rsidRPr="00EB0A98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Nietos</w:t>
            </w:r>
            <w:proofErr w:type="spellEnd"/>
            <w:r w:rsidR="00CD5CA5" w:rsidRPr="00EB0A98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Subdivision (Patata Ind</w:t>
            </w: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.</w:t>
            </w:r>
            <w:r w:rsidR="00CD5CA5" w:rsidRPr="00EB0A98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Lead) Cheat Sheet</w:t>
            </w:r>
          </w:p>
          <w:p w14:paraId="6333D6A8" w14:textId="5C81F0CF" w:rsidR="00CD5CA5" w:rsidRDefault="00CD5CA5" w:rsidP="001F5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A27407" w14:textId="77777777" w:rsidR="001F559B" w:rsidRPr="001F559B" w:rsidRDefault="001F559B" w:rsidP="00CD5CA5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CD5CA5" w14:paraId="36245B82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06AD5" w14:textId="77777777" w:rsidR="00CD5CA5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281FA27" w14:textId="1BB5A10F" w:rsidR="00CD5CA5" w:rsidRPr="00AC395A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C395A">
              <w:rPr>
                <w:rFonts w:ascii="Arial" w:hAnsi="Arial" w:cs="Arial"/>
                <w:sz w:val="24"/>
                <w:szCs w:val="24"/>
                <w:u w:val="single"/>
              </w:rPr>
              <w:t xml:space="preserve">Portion Operated </w:t>
            </w:r>
          </w:p>
          <w:p w14:paraId="565D4664" w14:textId="440F4578" w:rsidR="00CD5CA5" w:rsidRDefault="00EB0A98" w:rsidP="00C63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MP 15.9 at Firestone Blvd to </w:t>
            </w:r>
            <w:r w:rsidR="00CD5CA5">
              <w:rPr>
                <w:rFonts w:ascii="Arial" w:hAnsi="Arial" w:cs="Arial"/>
                <w:sz w:val="24"/>
                <w:szCs w:val="24"/>
              </w:rPr>
              <w:t>MP 21.7 at CP Compton.</w:t>
            </w:r>
            <w:r>
              <w:rPr>
                <w:rFonts w:ascii="Arial" w:hAnsi="Arial" w:cs="Arial"/>
                <w:sz w:val="24"/>
                <w:szCs w:val="24"/>
              </w:rPr>
              <w:t xml:space="preserve">  O</w:t>
            </w:r>
            <w:r w:rsidR="00CD5CA5">
              <w:rPr>
                <w:rFonts w:ascii="Arial" w:hAnsi="Arial" w:cs="Arial"/>
                <w:sz w:val="24"/>
                <w:szCs w:val="24"/>
              </w:rPr>
              <w:t>peration north of MP 17.9 at Imperial Highway must be approved by a PHL manager.</w:t>
            </w:r>
            <w:r>
              <w:rPr>
                <w:rFonts w:ascii="Arial" w:hAnsi="Arial" w:cs="Arial"/>
                <w:sz w:val="24"/>
                <w:szCs w:val="24"/>
              </w:rPr>
              <w:t xml:space="preserve">  This is a North-South subdivision.  </w:t>
            </w:r>
          </w:p>
          <w:p w14:paraId="57B0D691" w14:textId="638FB8E9" w:rsidR="00CD5CA5" w:rsidRP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792" w14:paraId="526CE16B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48B18" w14:textId="77777777" w:rsidR="000C5A5A" w:rsidRDefault="000C5A5A" w:rsidP="005D779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610A4A8" w14:textId="036C8199" w:rsidR="005D7792" w:rsidRDefault="005D7792" w:rsidP="005D779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Customers/Business Tracks</w:t>
            </w:r>
          </w:p>
          <w:p w14:paraId="65F53789" w14:textId="549234E2" w:rsidR="005D7792" w:rsidRDefault="000C5A5A" w:rsidP="005D77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Cargill</w:t>
            </w:r>
          </w:p>
          <w:p w14:paraId="783E62F3" w14:textId="77777777" w:rsidR="005D7792" w:rsidRDefault="00F32E5D" w:rsidP="00D67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Contractor’s Cargo</w:t>
            </w:r>
          </w:p>
          <w:p w14:paraId="7107C712" w14:textId="0EE2886C" w:rsidR="00EE4E85" w:rsidRDefault="00EE4E85" w:rsidP="00D6761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D5CA5" w14:paraId="7EC26D64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ED517" w14:textId="77777777" w:rsidR="00CD5CA5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DCE7288" w14:textId="53624571" w:rsidR="00CD5CA5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Authority Method</w:t>
            </w:r>
          </w:p>
          <w:p w14:paraId="27DC7C0A" w14:textId="77777777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  <w:r w:rsidRPr="00154C73">
              <w:rPr>
                <w:rFonts w:ascii="Arial" w:hAnsi="Arial" w:cs="Arial"/>
                <w:sz w:val="24"/>
                <w:szCs w:val="24"/>
              </w:rPr>
              <w:t>OTMT – GCOR 6.28</w:t>
            </w:r>
          </w:p>
          <w:p w14:paraId="2BD7541B" w14:textId="1E7E04ED" w:rsidR="00CD5CA5" w:rsidRP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A5" w14:paraId="7F13BCBD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5EA02" w14:textId="77777777" w:rsidR="00CD5CA5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1749905" w14:textId="508F4FD1" w:rsidR="00CD5CA5" w:rsidRPr="00AC395A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C395A">
              <w:rPr>
                <w:rFonts w:ascii="Arial" w:hAnsi="Arial" w:cs="Arial"/>
                <w:sz w:val="24"/>
                <w:szCs w:val="24"/>
                <w:u w:val="single"/>
              </w:rPr>
              <w:t>Speed Limit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</w:p>
          <w:p w14:paraId="3813A041" w14:textId="1C333A88" w:rsidR="00CD5CA5" w:rsidRDefault="00CD5CA5" w:rsidP="00CD5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the industrial Lead between MP 1</w:t>
            </w:r>
            <w:r w:rsidR="00EB0A98">
              <w:rPr>
                <w:rFonts w:ascii="Arial" w:hAnsi="Arial" w:cs="Arial"/>
                <w:sz w:val="24"/>
                <w:szCs w:val="24"/>
              </w:rPr>
              <w:t>5.9</w:t>
            </w:r>
            <w:r>
              <w:rPr>
                <w:rFonts w:ascii="Arial" w:hAnsi="Arial" w:cs="Arial"/>
                <w:sz w:val="24"/>
                <w:szCs w:val="24"/>
              </w:rPr>
              <w:t xml:space="preserve"> and MP 1</w:t>
            </w:r>
            <w:r w:rsidR="00EB0A98">
              <w:rPr>
                <w:rFonts w:ascii="Arial" w:hAnsi="Arial" w:cs="Arial"/>
                <w:sz w:val="24"/>
                <w:szCs w:val="24"/>
              </w:rPr>
              <w:t>6.5</w:t>
            </w:r>
            <w:r>
              <w:rPr>
                <w:rFonts w:ascii="Arial" w:hAnsi="Arial" w:cs="Arial"/>
                <w:sz w:val="24"/>
                <w:szCs w:val="24"/>
              </w:rPr>
              <w:t xml:space="preserve"> = 10 MPH</w:t>
            </w:r>
          </w:p>
          <w:p w14:paraId="36F42AF9" w14:textId="77777777" w:rsidR="00EB0A98" w:rsidRDefault="00EB0A98" w:rsidP="00EB0A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the industrial Lead between MP 16.5 and MP 21.7 = 15 MPH</w:t>
            </w:r>
          </w:p>
          <w:p w14:paraId="05D5345E" w14:textId="77777777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other tracks including customer tracks and run around tracks = 10 MPH</w:t>
            </w:r>
          </w:p>
          <w:p w14:paraId="03EB9084" w14:textId="72CF8714" w:rsidR="00CD5CA5" w:rsidRP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A5" w14:paraId="38B869D2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E3A10" w14:textId="77777777" w:rsidR="00CD5CA5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4C79D62" w14:textId="5F46B3D7" w:rsidR="00CD5CA5" w:rsidRPr="00AC395A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C395A">
              <w:rPr>
                <w:rFonts w:ascii="Arial" w:hAnsi="Arial" w:cs="Arial"/>
                <w:sz w:val="24"/>
                <w:szCs w:val="24"/>
                <w:u w:val="single"/>
              </w:rPr>
              <w:t>Crossing Protection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when Shoving</w:t>
            </w:r>
          </w:p>
          <w:p w14:paraId="16D1A08F" w14:textId="187AD301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Unless otherwise specified by track bulletin or dispatcher instruction, normal procedures as per GCOR 6.32.1.</w:t>
            </w:r>
          </w:p>
          <w:p w14:paraId="333CA5FB" w14:textId="39184302" w:rsidR="00CD5CA5" w:rsidRP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A5" w14:paraId="147E94F7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3E35E" w14:textId="77777777" w:rsidR="00CD5CA5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07420A9" w14:textId="030941F4" w:rsidR="00CD5CA5" w:rsidRPr="00154C73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54C73">
              <w:rPr>
                <w:rFonts w:ascii="Arial" w:hAnsi="Arial" w:cs="Arial"/>
                <w:sz w:val="24"/>
                <w:szCs w:val="24"/>
                <w:u w:val="single"/>
              </w:rPr>
              <w:t>Securement Requirements</w:t>
            </w:r>
          </w:p>
          <w:p w14:paraId="4065F327" w14:textId="77777777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C in customer tracks, Method A at all other locations.</w:t>
            </w:r>
          </w:p>
          <w:p w14:paraId="15C07CC0" w14:textId="652AE175" w:rsidR="00CD5CA5" w:rsidRP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A5" w14:paraId="538FD674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C7AB2" w14:textId="77777777" w:rsidR="00CD5CA5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3964174" w14:textId="6CF498E1" w:rsidR="00CD5CA5" w:rsidRPr="00154C73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54C73">
              <w:rPr>
                <w:rFonts w:ascii="Arial" w:hAnsi="Arial" w:cs="Arial"/>
                <w:sz w:val="24"/>
                <w:szCs w:val="24"/>
                <w:u w:val="single"/>
              </w:rPr>
              <w:t>Special Instructions</w:t>
            </w:r>
            <w:r w:rsidR="00EB0A98">
              <w:rPr>
                <w:rFonts w:ascii="Arial" w:hAnsi="Arial" w:cs="Arial"/>
                <w:sz w:val="24"/>
                <w:szCs w:val="24"/>
                <w:u w:val="single"/>
              </w:rPr>
              <w:t>/Conditions</w:t>
            </w:r>
          </w:p>
          <w:p w14:paraId="2659C799" w14:textId="77777777" w:rsidR="00CD5CA5" w:rsidRDefault="00CD5CA5" w:rsidP="00CD5CA5">
            <w:pPr>
              <w:rPr>
                <w:rFonts w:ascii="Arial" w:hAnsi="Arial" w:cs="Arial"/>
                <w:sz w:val="24"/>
                <w:szCs w:val="24"/>
              </w:rPr>
            </w:pPr>
            <w:r w:rsidRPr="000D413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0D413E">
              <w:rPr>
                <w:rFonts w:ascii="Arial" w:hAnsi="Arial" w:cs="Arial"/>
                <w:sz w:val="24"/>
                <w:szCs w:val="24"/>
              </w:rPr>
              <w:t>nside Cargill</w:t>
            </w:r>
            <w:r>
              <w:rPr>
                <w:rFonts w:ascii="Arial" w:hAnsi="Arial" w:cs="Arial"/>
                <w:sz w:val="24"/>
                <w:szCs w:val="24"/>
              </w:rPr>
              <w:t>, no excessive dimension cars and do not handle other customer’s cars.</w:t>
            </w:r>
          </w:p>
          <w:p w14:paraId="5F242B86" w14:textId="2171CECD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Procedure XH (approach prepared to stop until devices are seen to be working) at all road crossings.</w:t>
            </w:r>
          </w:p>
          <w:p w14:paraId="57257895" w14:textId="22064251" w:rsidR="00CD5CA5" w:rsidRP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878F42" w14:textId="77777777" w:rsidR="00154C73" w:rsidRDefault="00154C73" w:rsidP="00154C73">
      <w:pPr>
        <w:spacing w:after="0"/>
        <w:rPr>
          <w:rFonts w:ascii="Arial" w:hAnsi="Arial" w:cs="Arial"/>
          <w:sz w:val="24"/>
          <w:szCs w:val="24"/>
        </w:rPr>
      </w:pPr>
    </w:p>
    <w:p w14:paraId="14733CE4" w14:textId="77777777" w:rsidR="00154C73" w:rsidRDefault="00154C73" w:rsidP="00AC395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FB2C3EC" w14:textId="77777777" w:rsidR="000D413E" w:rsidRDefault="000D413E" w:rsidP="00C63C1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CD5CA5" w14:paraId="6BE139FD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65073" w14:textId="77777777" w:rsidR="00EB0A98" w:rsidRDefault="00EB0A98" w:rsidP="00CD5C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7E5CF1E" w14:textId="296981FD" w:rsidR="00CD5CA5" w:rsidRPr="00EB0A98" w:rsidRDefault="004513D1" w:rsidP="00CD5CA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UP </w:t>
            </w:r>
            <w:r w:rsidR="00CD5CA5" w:rsidRPr="00EB0A98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Reyes Industrial Lead Cheat Sheet</w:t>
            </w:r>
          </w:p>
          <w:p w14:paraId="212036C0" w14:textId="77777777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A5" w14:paraId="0D9B88D5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46777" w14:textId="77777777" w:rsidR="00EB0A98" w:rsidRDefault="00EB0A98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986ADC3" w14:textId="79FC2E98" w:rsidR="00CD5CA5" w:rsidRPr="00AC395A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C395A">
              <w:rPr>
                <w:rFonts w:ascii="Arial" w:hAnsi="Arial" w:cs="Arial"/>
                <w:sz w:val="24"/>
                <w:szCs w:val="24"/>
                <w:u w:val="single"/>
              </w:rPr>
              <w:t xml:space="preserve">Portion Operated </w:t>
            </w:r>
          </w:p>
          <w:p w14:paraId="6EC513D7" w14:textId="7EAE4A2E" w:rsidR="00CD5CA5" w:rsidRDefault="00CD5CA5" w:rsidP="00CD5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 0.0 at CP Compton to MP 2.0 at end of track south of International Paper</w:t>
            </w:r>
            <w:r w:rsidR="004513D1">
              <w:rPr>
                <w:rFonts w:ascii="Arial" w:hAnsi="Arial" w:cs="Arial"/>
                <w:sz w:val="24"/>
                <w:szCs w:val="24"/>
              </w:rPr>
              <w:t xml:space="preserve">.  This is a North-South </w:t>
            </w:r>
            <w:r w:rsidR="00F13D6F">
              <w:rPr>
                <w:rFonts w:ascii="Arial" w:hAnsi="Arial" w:cs="Arial"/>
                <w:sz w:val="24"/>
                <w:szCs w:val="24"/>
              </w:rPr>
              <w:t>industrial lead</w:t>
            </w:r>
            <w:r w:rsidR="004513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7AA1BC" w14:textId="77777777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792" w14:paraId="02D0BD75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34C1C" w14:textId="77777777" w:rsidR="005D7792" w:rsidRDefault="005D7792" w:rsidP="005D779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D00EF52" w14:textId="7C7309FE" w:rsidR="005D7792" w:rsidRDefault="005D7792" w:rsidP="005D779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Customers/Business Tracks</w:t>
            </w:r>
          </w:p>
          <w:p w14:paraId="638C80C8" w14:textId="5FAB6ACC" w:rsidR="005D7792" w:rsidRDefault="005D7792" w:rsidP="005D77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Epsilon</w:t>
            </w:r>
          </w:p>
          <w:p w14:paraId="097E2ADE" w14:textId="06E78F59" w:rsidR="005D7792" w:rsidRDefault="005D7792" w:rsidP="005D77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 More</w:t>
            </w:r>
          </w:p>
          <w:p w14:paraId="29460447" w14:textId="7E1ED7C7" w:rsidR="005D7792" w:rsidRPr="005D7792" w:rsidRDefault="005D7792" w:rsidP="005D77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Paper</w:t>
            </w:r>
          </w:p>
          <w:p w14:paraId="4B6BD4D5" w14:textId="77777777" w:rsidR="005D7792" w:rsidRDefault="005D7792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D5CA5" w14:paraId="17C3CA0C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74929" w14:textId="77777777" w:rsidR="00EB0A98" w:rsidRDefault="00EB0A98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85D726D" w14:textId="23491715" w:rsidR="00CD5CA5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Authority Method</w:t>
            </w:r>
          </w:p>
          <w:p w14:paraId="23FB7B51" w14:textId="77777777" w:rsidR="00CD5CA5" w:rsidRPr="00154C73" w:rsidRDefault="00CD5CA5" w:rsidP="00CD5CA5">
            <w:pPr>
              <w:rPr>
                <w:rFonts w:ascii="Arial" w:hAnsi="Arial" w:cs="Arial"/>
                <w:sz w:val="24"/>
                <w:szCs w:val="24"/>
              </w:rPr>
            </w:pPr>
            <w:r w:rsidRPr="00154C73">
              <w:rPr>
                <w:rFonts w:ascii="Arial" w:hAnsi="Arial" w:cs="Arial"/>
                <w:sz w:val="24"/>
                <w:szCs w:val="24"/>
              </w:rPr>
              <w:t>OTMT – GCOR 6.28</w:t>
            </w:r>
          </w:p>
          <w:p w14:paraId="22DD1D8F" w14:textId="77777777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A5" w14:paraId="03AD6352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3A05A" w14:textId="77777777" w:rsidR="00EB0A98" w:rsidRDefault="00EB0A98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370C948" w14:textId="208E7D24" w:rsidR="00CD5CA5" w:rsidRPr="00AC395A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C395A">
              <w:rPr>
                <w:rFonts w:ascii="Arial" w:hAnsi="Arial" w:cs="Arial"/>
                <w:sz w:val="24"/>
                <w:szCs w:val="24"/>
                <w:u w:val="single"/>
              </w:rPr>
              <w:t>Speed Limit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</w:p>
          <w:p w14:paraId="38E687CE" w14:textId="77777777" w:rsidR="00CD5CA5" w:rsidRDefault="00CD5CA5" w:rsidP="00CD5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tracks = 10 MPH</w:t>
            </w:r>
          </w:p>
          <w:p w14:paraId="4D2AF2B2" w14:textId="77777777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A5" w14:paraId="69E75266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91C6F" w14:textId="77777777" w:rsidR="00EB0A98" w:rsidRDefault="00EB0A98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FD3F6E8" w14:textId="2A0B611B" w:rsidR="00CD5CA5" w:rsidRPr="00AC395A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C395A">
              <w:rPr>
                <w:rFonts w:ascii="Arial" w:hAnsi="Arial" w:cs="Arial"/>
                <w:sz w:val="24"/>
                <w:szCs w:val="24"/>
                <w:u w:val="single"/>
              </w:rPr>
              <w:t>Crossing Protection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when Shoving</w:t>
            </w:r>
          </w:p>
          <w:p w14:paraId="71B3EF28" w14:textId="15946BE7" w:rsidR="00CD5CA5" w:rsidRPr="001F559B" w:rsidRDefault="00EB0A98" w:rsidP="00CD5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Unless otherwise specified by track bulletin or dispatcher instruction, s</w:t>
            </w:r>
            <w:r w:rsidR="00CD5CA5" w:rsidRPr="001F559B">
              <w:rPr>
                <w:rFonts w:ascii="Arial" w:hAnsi="Arial" w:cs="Arial"/>
                <w:sz w:val="24"/>
                <w:szCs w:val="24"/>
              </w:rPr>
              <w:t>hoving movements approaching road crossings not protected by gates must stop before occupying the crossing.</w:t>
            </w:r>
            <w:r w:rsidR="00CD5C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CA5" w:rsidRPr="001F559B">
              <w:rPr>
                <w:rFonts w:ascii="Arial" w:hAnsi="Arial" w:cs="Arial"/>
                <w:sz w:val="24"/>
                <w:szCs w:val="24"/>
              </w:rPr>
              <w:t xml:space="preserve"> After a crew mem</w:t>
            </w:r>
            <w:r w:rsidR="00CD5CA5">
              <w:rPr>
                <w:rFonts w:ascii="Arial" w:hAnsi="Arial" w:cs="Arial"/>
                <w:sz w:val="24"/>
                <w:szCs w:val="24"/>
              </w:rPr>
              <w:t>ber is on the ground</w:t>
            </w:r>
            <w:r w:rsidR="00CD5CA5" w:rsidRPr="001F559B">
              <w:rPr>
                <w:rFonts w:ascii="Arial" w:hAnsi="Arial" w:cs="Arial"/>
                <w:sz w:val="24"/>
                <w:szCs w:val="24"/>
              </w:rPr>
              <w:t xml:space="preserve"> at the crossing to provide warning, place lighted </w:t>
            </w:r>
            <w:proofErr w:type="spellStart"/>
            <w:r w:rsidR="00CD5CA5" w:rsidRPr="001F559B">
              <w:rPr>
                <w:rFonts w:ascii="Arial" w:hAnsi="Arial" w:cs="Arial"/>
                <w:sz w:val="24"/>
                <w:szCs w:val="24"/>
              </w:rPr>
              <w:t>fusees</w:t>
            </w:r>
            <w:proofErr w:type="spellEnd"/>
            <w:r w:rsidR="00CD5CA5" w:rsidRPr="001F559B">
              <w:rPr>
                <w:rFonts w:ascii="Arial" w:hAnsi="Arial" w:cs="Arial"/>
                <w:sz w:val="24"/>
                <w:szCs w:val="24"/>
              </w:rPr>
              <w:t xml:space="preserve"> at the crossing, then proceed over the crossing as directed by that crew member. Do not ride car when shoving through crossing.</w:t>
            </w:r>
          </w:p>
          <w:p w14:paraId="2DC7ED4C" w14:textId="77777777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A5" w14:paraId="433CFE12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AFA4A" w14:textId="77777777" w:rsidR="00EB0A98" w:rsidRDefault="00EB0A98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2A70D00" w14:textId="39E476B6" w:rsidR="00CD5CA5" w:rsidRPr="00154C73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54C73">
              <w:rPr>
                <w:rFonts w:ascii="Arial" w:hAnsi="Arial" w:cs="Arial"/>
                <w:sz w:val="24"/>
                <w:szCs w:val="24"/>
                <w:u w:val="single"/>
              </w:rPr>
              <w:t>Securement Requirements</w:t>
            </w:r>
          </w:p>
          <w:p w14:paraId="4DAA7C0F" w14:textId="77777777" w:rsidR="00CD5CA5" w:rsidRDefault="00CD5CA5" w:rsidP="00CD5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C at all locations.</w:t>
            </w:r>
          </w:p>
          <w:p w14:paraId="6A51126E" w14:textId="77777777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A5" w14:paraId="13ECB9A9" w14:textId="77777777" w:rsidTr="000C5A5A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48E99" w14:textId="77777777" w:rsidR="00EB0A98" w:rsidRDefault="00EB0A98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DCFD428" w14:textId="15ACB1BE" w:rsidR="00CD5CA5" w:rsidRPr="00154C73" w:rsidRDefault="00CD5CA5" w:rsidP="00CD5C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54C73">
              <w:rPr>
                <w:rFonts w:ascii="Arial" w:hAnsi="Arial" w:cs="Arial"/>
                <w:sz w:val="24"/>
                <w:szCs w:val="24"/>
                <w:u w:val="single"/>
              </w:rPr>
              <w:t>Special Instructions</w:t>
            </w:r>
            <w:r w:rsidR="004513D1">
              <w:rPr>
                <w:rFonts w:ascii="Arial" w:hAnsi="Arial" w:cs="Arial"/>
                <w:sz w:val="24"/>
                <w:szCs w:val="24"/>
                <w:u w:val="single"/>
              </w:rPr>
              <w:t>/Conditions</w:t>
            </w:r>
          </w:p>
          <w:p w14:paraId="390AF10D" w14:textId="77777777" w:rsidR="00CD5CA5" w:rsidRPr="00C63C15" w:rsidRDefault="00CD5CA5" w:rsidP="00CD5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six-axle locomotives permitted unless approved by a PHL manager.</w:t>
            </w:r>
          </w:p>
          <w:p w14:paraId="15EBD8E6" w14:textId="77777777" w:rsidR="00CD5CA5" w:rsidRDefault="00CD5CA5" w:rsidP="00C63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90CA1C" w14:textId="77777777" w:rsidR="001F559B" w:rsidRDefault="001F559B" w:rsidP="00CD5CA5">
      <w:pPr>
        <w:rPr>
          <w:rFonts w:ascii="Arial" w:hAnsi="Arial" w:cs="Arial"/>
          <w:sz w:val="24"/>
          <w:szCs w:val="24"/>
          <w:u w:val="single"/>
        </w:rPr>
      </w:pPr>
    </w:p>
    <w:p w14:paraId="337DD202" w14:textId="77777777" w:rsidR="000D413E" w:rsidRDefault="000D413E" w:rsidP="000D413E">
      <w:pPr>
        <w:spacing w:after="0"/>
        <w:rPr>
          <w:rFonts w:ascii="Arial" w:hAnsi="Arial" w:cs="Arial"/>
          <w:sz w:val="24"/>
          <w:szCs w:val="24"/>
        </w:rPr>
      </w:pPr>
    </w:p>
    <w:p w14:paraId="5EC33E19" w14:textId="77777777" w:rsidR="000D413E" w:rsidRDefault="000D413E" w:rsidP="000D413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B222A46" w14:textId="77777777" w:rsidR="000D413E" w:rsidRDefault="000D413E" w:rsidP="000D413E">
      <w:pPr>
        <w:spacing w:after="0"/>
        <w:rPr>
          <w:rFonts w:ascii="Arial" w:hAnsi="Arial" w:cs="Arial"/>
          <w:sz w:val="24"/>
          <w:szCs w:val="24"/>
        </w:rPr>
      </w:pPr>
    </w:p>
    <w:p w14:paraId="5A16790B" w14:textId="77777777" w:rsidR="000D413E" w:rsidRDefault="000D413E" w:rsidP="000D413E">
      <w:pPr>
        <w:spacing w:after="0"/>
        <w:rPr>
          <w:rFonts w:ascii="Arial" w:hAnsi="Arial" w:cs="Arial"/>
          <w:sz w:val="24"/>
          <w:szCs w:val="24"/>
        </w:rPr>
      </w:pPr>
    </w:p>
    <w:p w14:paraId="4B9DD6C7" w14:textId="77777777" w:rsidR="004513D1" w:rsidRDefault="004513D1" w:rsidP="000D41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4513D1" w14:paraId="4B5511B6" w14:textId="77777777" w:rsidTr="005D7792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87492" w14:textId="77777777" w:rsidR="004513D1" w:rsidRDefault="004513D1" w:rsidP="00F028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C8CF6B4" w14:textId="0BE44D0D" w:rsidR="004513D1" w:rsidRPr="00EB0A98" w:rsidRDefault="004513D1" w:rsidP="00F028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UP San Pedro Subdivision</w:t>
            </w:r>
            <w:r w:rsidRPr="00EB0A98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Cheat Sheet</w:t>
            </w:r>
          </w:p>
          <w:p w14:paraId="46E1465C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3D1" w14:paraId="04B9B579" w14:textId="77777777" w:rsidTr="005D7792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5483D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F010CD4" w14:textId="77777777" w:rsidR="004513D1" w:rsidRPr="00AC395A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C395A">
              <w:rPr>
                <w:rFonts w:ascii="Arial" w:hAnsi="Arial" w:cs="Arial"/>
                <w:sz w:val="24"/>
                <w:szCs w:val="24"/>
                <w:u w:val="single"/>
              </w:rPr>
              <w:t xml:space="preserve">Portion Operated </w:t>
            </w:r>
          </w:p>
          <w:p w14:paraId="3655CB20" w14:textId="086EC4E5" w:rsidR="004513D1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 18.0 near Carson St. to MP 20.8 near PAS 24.  PHL employees are prohibited from operating north of MP 18.0.  This is a North-South subdivision.</w:t>
            </w:r>
          </w:p>
          <w:p w14:paraId="145E679D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792" w14:paraId="262F2734" w14:textId="77777777" w:rsidTr="005D7792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9EB9D" w14:textId="77777777" w:rsidR="005D7792" w:rsidRDefault="005D7792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A0F49A9" w14:textId="184D664A" w:rsidR="005D7792" w:rsidRDefault="005D7792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Customers/Business Tracks</w:t>
            </w:r>
          </w:p>
          <w:p w14:paraId="6BC81BB0" w14:textId="77777777" w:rsidR="005D7792" w:rsidRPr="005D7792" w:rsidRDefault="005D7792" w:rsidP="00F028B8">
            <w:pPr>
              <w:rPr>
                <w:rFonts w:ascii="Arial" w:hAnsi="Arial" w:cs="Arial"/>
                <w:sz w:val="24"/>
                <w:szCs w:val="24"/>
              </w:rPr>
            </w:pPr>
            <w:r w:rsidRPr="005D7792">
              <w:rPr>
                <w:rFonts w:ascii="Arial" w:hAnsi="Arial" w:cs="Arial"/>
                <w:sz w:val="24"/>
                <w:szCs w:val="24"/>
              </w:rPr>
              <w:t>Manuel Pass 1</w:t>
            </w:r>
          </w:p>
          <w:p w14:paraId="7CF13A6C" w14:textId="77777777" w:rsidR="005D7792" w:rsidRPr="005D7792" w:rsidRDefault="005D7792" w:rsidP="00F028B8">
            <w:pPr>
              <w:rPr>
                <w:rFonts w:ascii="Arial" w:hAnsi="Arial" w:cs="Arial"/>
                <w:sz w:val="24"/>
                <w:szCs w:val="24"/>
              </w:rPr>
            </w:pPr>
            <w:r w:rsidRPr="005D7792">
              <w:rPr>
                <w:rFonts w:ascii="Arial" w:hAnsi="Arial" w:cs="Arial"/>
                <w:sz w:val="24"/>
                <w:szCs w:val="24"/>
              </w:rPr>
              <w:t>Manuel Pass 2</w:t>
            </w:r>
          </w:p>
          <w:p w14:paraId="442D48C4" w14:textId="77777777" w:rsidR="005D7792" w:rsidRPr="005D7792" w:rsidRDefault="005D7792" w:rsidP="00F028B8">
            <w:pPr>
              <w:rPr>
                <w:rFonts w:ascii="Arial" w:hAnsi="Arial" w:cs="Arial"/>
                <w:sz w:val="24"/>
                <w:szCs w:val="24"/>
              </w:rPr>
            </w:pPr>
            <w:r w:rsidRPr="005D7792">
              <w:rPr>
                <w:rFonts w:ascii="Arial" w:hAnsi="Arial" w:cs="Arial"/>
                <w:sz w:val="24"/>
                <w:szCs w:val="24"/>
              </w:rPr>
              <w:t>Manuel Pass 3</w:t>
            </w:r>
          </w:p>
          <w:p w14:paraId="45BE0769" w14:textId="35CE53AF" w:rsidR="005D7792" w:rsidRDefault="005D7792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13D1" w14:paraId="11E60E5B" w14:textId="77777777" w:rsidTr="005D7792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3A8B7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71C5270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Authority Method</w:t>
            </w:r>
          </w:p>
          <w:p w14:paraId="44938A59" w14:textId="7A7F427F" w:rsidR="004513D1" w:rsidRPr="00154C73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Track Restricted Limits</w:t>
            </w:r>
            <w:r w:rsidRPr="00154C73">
              <w:rPr>
                <w:rFonts w:ascii="Arial" w:hAnsi="Arial" w:cs="Arial"/>
                <w:sz w:val="24"/>
                <w:szCs w:val="24"/>
              </w:rPr>
              <w:t xml:space="preserve"> – GCOR 6.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6B2F553E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3D1" w14:paraId="14056C3F" w14:textId="77777777" w:rsidTr="005D7792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18303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7CBEEA5" w14:textId="77777777" w:rsidR="004513D1" w:rsidRPr="00AC395A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C395A">
              <w:rPr>
                <w:rFonts w:ascii="Arial" w:hAnsi="Arial" w:cs="Arial"/>
                <w:sz w:val="24"/>
                <w:szCs w:val="24"/>
                <w:u w:val="single"/>
              </w:rPr>
              <w:t>Speed Limit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</w:p>
          <w:p w14:paraId="64C515FA" w14:textId="338D357D" w:rsidR="004513D1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Track = 20 MPH at Restricted Speed</w:t>
            </w:r>
          </w:p>
          <w:p w14:paraId="258F00A4" w14:textId="425E7E11" w:rsidR="004513D1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other tracks = 10 MPH OTMT</w:t>
            </w:r>
          </w:p>
          <w:p w14:paraId="7A185F1A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3D1" w14:paraId="3FD92190" w14:textId="77777777" w:rsidTr="005D7792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673D8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B66FFD6" w14:textId="77777777" w:rsidR="004513D1" w:rsidRPr="00AC395A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C395A">
              <w:rPr>
                <w:rFonts w:ascii="Arial" w:hAnsi="Arial" w:cs="Arial"/>
                <w:sz w:val="24"/>
                <w:szCs w:val="24"/>
                <w:u w:val="single"/>
              </w:rPr>
              <w:t>Crossing Protection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when Shoving</w:t>
            </w:r>
          </w:p>
          <w:p w14:paraId="1C2E0E0A" w14:textId="77777777" w:rsidR="004513D1" w:rsidRDefault="004513D1" w:rsidP="004513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Unless otherwise specified by track bulletin or dispatcher instruction, normal procedures as per GCOR 6.32.1.</w:t>
            </w:r>
          </w:p>
          <w:p w14:paraId="5F0E3A22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3D1" w14:paraId="7F3D45C4" w14:textId="77777777" w:rsidTr="005D7792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96AC8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0B2297D" w14:textId="77777777" w:rsidR="004513D1" w:rsidRPr="00154C73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54C73">
              <w:rPr>
                <w:rFonts w:ascii="Arial" w:hAnsi="Arial" w:cs="Arial"/>
                <w:sz w:val="24"/>
                <w:szCs w:val="24"/>
                <w:u w:val="single"/>
              </w:rPr>
              <w:t>Securement Requirements</w:t>
            </w:r>
          </w:p>
          <w:p w14:paraId="6DEE680A" w14:textId="1E24FF04" w:rsidR="004513D1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A at all locations.</w:t>
            </w:r>
          </w:p>
          <w:p w14:paraId="6E1A3A58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3D1" w14:paraId="56F2A4B6" w14:textId="77777777" w:rsidTr="005D7792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A5D85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ED2B81E" w14:textId="4963547A" w:rsidR="004513D1" w:rsidRPr="00154C73" w:rsidRDefault="004513D1" w:rsidP="00F028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54C73">
              <w:rPr>
                <w:rFonts w:ascii="Arial" w:hAnsi="Arial" w:cs="Arial"/>
                <w:sz w:val="24"/>
                <w:szCs w:val="24"/>
                <w:u w:val="single"/>
              </w:rPr>
              <w:t>Special Instructions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/Conditions</w:t>
            </w:r>
          </w:p>
          <w:p w14:paraId="54EE3A07" w14:textId="70733203" w:rsidR="004513D1" w:rsidRPr="00C63C15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Derails are located at the north and south ends of Manuel Pass 1, Manuel Pass 2 and Manuel Pass 3.</w:t>
            </w:r>
            <w:r w:rsidR="005D7792">
              <w:rPr>
                <w:rFonts w:ascii="Arial" w:hAnsi="Arial" w:cs="Arial"/>
                <w:sz w:val="24"/>
                <w:szCs w:val="24"/>
              </w:rPr>
              <w:t xml:space="preserve">  Reminder:  Equipment must be left at least 100 feet from a derail in the derailing position.</w:t>
            </w:r>
          </w:p>
          <w:p w14:paraId="5235044B" w14:textId="77777777" w:rsidR="004513D1" w:rsidRDefault="004513D1" w:rsidP="00F02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BD63BF" w14:textId="77777777" w:rsidR="004513D1" w:rsidRDefault="004513D1" w:rsidP="000D413E">
      <w:pPr>
        <w:spacing w:after="0"/>
        <w:rPr>
          <w:rFonts w:ascii="Arial" w:hAnsi="Arial" w:cs="Arial"/>
          <w:sz w:val="24"/>
          <w:szCs w:val="24"/>
        </w:rPr>
      </w:pPr>
    </w:p>
    <w:sectPr w:rsidR="0045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D8C"/>
    <w:multiLevelType w:val="hybridMultilevel"/>
    <w:tmpl w:val="8878C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91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15"/>
    <w:rsid w:val="00095C37"/>
    <w:rsid w:val="000C0D48"/>
    <w:rsid w:val="000C5A5A"/>
    <w:rsid w:val="000D413E"/>
    <w:rsid w:val="00154C73"/>
    <w:rsid w:val="001F559B"/>
    <w:rsid w:val="001F6930"/>
    <w:rsid w:val="003F74AB"/>
    <w:rsid w:val="004513D1"/>
    <w:rsid w:val="005D7792"/>
    <w:rsid w:val="006D53E8"/>
    <w:rsid w:val="00771B0B"/>
    <w:rsid w:val="00AC395A"/>
    <w:rsid w:val="00C63C15"/>
    <w:rsid w:val="00CD5CA5"/>
    <w:rsid w:val="00D67610"/>
    <w:rsid w:val="00EB0A98"/>
    <w:rsid w:val="00EE4E85"/>
    <w:rsid w:val="00F13D6F"/>
    <w:rsid w:val="00F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B909"/>
  <w15:chartTrackingRefBased/>
  <w15:docId w15:val="{16BD3566-24E0-423C-B93B-84B77A60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C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L. Moore</dc:creator>
  <cp:keywords/>
  <dc:description/>
  <cp:lastModifiedBy>Stephen L. Moore</cp:lastModifiedBy>
  <cp:revision>5</cp:revision>
  <dcterms:created xsi:type="dcterms:W3CDTF">2024-08-28T21:11:00Z</dcterms:created>
  <dcterms:modified xsi:type="dcterms:W3CDTF">2024-08-29T20:11:00Z</dcterms:modified>
</cp:coreProperties>
</file>